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5CFB" w14:textId="77777777" w:rsidR="005C0AA6" w:rsidRDefault="005C0AA6" w:rsidP="005C0AA6">
      <w:pPr>
        <w:tabs>
          <w:tab w:val="left" w:pos="2410"/>
        </w:tabs>
        <w:suppressAutoHyphens/>
        <w:rPr>
          <w:rFonts w:ascii="Verdana" w:hAnsi="Verdana"/>
          <w:color w:val="92766F"/>
          <w:sz w:val="48"/>
          <w:szCs w:val="48"/>
          <w:lang w:val="fr-FR"/>
        </w:rPr>
      </w:pPr>
      <w:r w:rsidRPr="005C0AA6">
        <w:rPr>
          <w:rFonts w:ascii="Verdana" w:hAnsi="Verdana"/>
          <w:color w:val="92766F"/>
          <w:sz w:val="48"/>
          <w:szCs w:val="48"/>
          <w:lang w:val="fr-FR"/>
        </w:rPr>
        <w:t>VERTEX SLIM</w:t>
      </w:r>
    </w:p>
    <w:p w14:paraId="3252B218" w14:textId="77777777" w:rsidR="005C0AA6" w:rsidRDefault="005C0AA6" w:rsidP="005C0AA6">
      <w:pPr>
        <w:tabs>
          <w:tab w:val="left" w:pos="2410"/>
        </w:tabs>
        <w:suppressAutoHyphens/>
        <w:rPr>
          <w:rFonts w:ascii="Verdana" w:hAnsi="Verdana"/>
          <w:sz w:val="20"/>
          <w:szCs w:val="20"/>
          <w:lang w:val="fr-FR"/>
        </w:rPr>
      </w:pPr>
      <w:r w:rsidRPr="005C0AA6">
        <w:rPr>
          <w:rFonts w:ascii="Verdana" w:hAnsi="Verdana"/>
          <w:sz w:val="20"/>
          <w:szCs w:val="20"/>
          <w:lang w:val="fr-FR"/>
        </w:rPr>
        <w:t xml:space="preserve">Le Vertex Slim est le radiateur design idéal pour tous ceux et toutes celles qui apprécient un design sobre et magistral. Sa face avant parfaitement uniforme et ses panneaux latéraux noirs confèrent un rayonnement incomparable à ce radiateur. Grâce à son excellente finition, il donnera à votre logement une vraie classe, même si l’espace est limité. Accessoires optionnels disponibles: grille noire supérieure et porte-serviette. </w:t>
      </w:r>
    </w:p>
    <w:p w14:paraId="2987234E" w14:textId="77777777" w:rsidR="005C0AA6" w:rsidRPr="005C0AA6" w:rsidRDefault="005C0AA6" w:rsidP="005C0AA6">
      <w:pPr>
        <w:tabs>
          <w:tab w:val="left" w:pos="2410"/>
        </w:tabs>
        <w:suppressAutoHyphens/>
        <w:rPr>
          <w:rFonts w:ascii="Verdana" w:hAnsi="Verdana"/>
          <w:sz w:val="20"/>
          <w:szCs w:val="20"/>
          <w:lang w:val="fr-FR"/>
        </w:rPr>
      </w:pPr>
    </w:p>
    <w:p w14:paraId="40621FFB" w14:textId="77777777" w:rsidR="005C0AA6" w:rsidRPr="005C0AA6" w:rsidRDefault="005C0AA6" w:rsidP="005C0AA6">
      <w:pPr>
        <w:tabs>
          <w:tab w:val="left" w:pos="2410"/>
        </w:tabs>
        <w:suppressAutoHyphens/>
        <w:rPr>
          <w:rFonts w:ascii="Verdana" w:hAnsi="Verdana"/>
          <w:sz w:val="16"/>
          <w:szCs w:val="16"/>
          <w:lang w:val="fr-FR"/>
        </w:rPr>
      </w:pPr>
      <w:r w:rsidRPr="005C0AA6">
        <w:rPr>
          <w:rFonts w:ascii="Verdana" w:hAnsi="Verdana"/>
          <w:sz w:val="16"/>
          <w:szCs w:val="16"/>
          <w:lang w:val="fr-FR"/>
        </w:rPr>
        <w:t>Produit:</w:t>
      </w:r>
      <w:r w:rsidRPr="005C0AA6">
        <w:rPr>
          <w:rFonts w:ascii="Verdana" w:hAnsi="Verdana"/>
          <w:sz w:val="16"/>
          <w:szCs w:val="16"/>
          <w:lang w:val="fr-FR"/>
        </w:rPr>
        <w:tab/>
        <w:t>radiateur vertical décoratif à raccordement central et à design bicolore épuré</w:t>
      </w:r>
    </w:p>
    <w:p w14:paraId="0F71C650" w14:textId="77777777" w:rsidR="005C0AA6" w:rsidRPr="005C0AA6" w:rsidRDefault="005C0AA6" w:rsidP="005C0AA6">
      <w:pPr>
        <w:tabs>
          <w:tab w:val="left" w:pos="2410"/>
        </w:tabs>
        <w:suppressAutoHyphens/>
        <w:rPr>
          <w:rFonts w:ascii="Verdana" w:hAnsi="Verdana"/>
          <w:sz w:val="16"/>
          <w:szCs w:val="16"/>
          <w:lang w:val="fr-FR"/>
        </w:rPr>
      </w:pPr>
      <w:r w:rsidRPr="005C0AA6">
        <w:rPr>
          <w:rFonts w:ascii="Verdana" w:hAnsi="Verdana"/>
          <w:sz w:val="16"/>
          <w:szCs w:val="16"/>
          <w:lang w:val="fr-FR"/>
        </w:rPr>
        <w:t>Finition:</w:t>
      </w:r>
      <w:r w:rsidRPr="005C0AA6">
        <w:rPr>
          <w:rFonts w:ascii="Verdana" w:hAnsi="Verdana"/>
          <w:sz w:val="16"/>
          <w:szCs w:val="16"/>
          <w:lang w:val="fr-FR"/>
        </w:rPr>
        <w:tab/>
        <w:t>design bicolore épuré avec panneaux latéraux discrets</w:t>
      </w:r>
    </w:p>
    <w:p w14:paraId="1AD1B4A5" w14:textId="6C3A7715" w:rsidR="005C0AA6" w:rsidRPr="005C0AA6" w:rsidRDefault="005C0AA6" w:rsidP="005C0AA6">
      <w:pPr>
        <w:tabs>
          <w:tab w:val="left" w:pos="2410"/>
        </w:tabs>
        <w:suppressAutoHyphens/>
        <w:ind w:left="2410" w:hanging="2410"/>
        <w:rPr>
          <w:rFonts w:ascii="Verdana" w:hAnsi="Verdana"/>
          <w:sz w:val="16"/>
          <w:szCs w:val="16"/>
          <w:lang w:val="fr-FR"/>
        </w:rPr>
      </w:pPr>
      <w:r w:rsidRPr="005C0AA6">
        <w:rPr>
          <w:rFonts w:ascii="Verdana" w:hAnsi="Verdana"/>
          <w:sz w:val="16"/>
          <w:szCs w:val="16"/>
          <w:lang w:val="fr-FR"/>
        </w:rPr>
        <w:t>Fourni avec:</w:t>
      </w:r>
      <w:r w:rsidRPr="005C0AA6">
        <w:rPr>
          <w:rFonts w:ascii="Verdana" w:hAnsi="Verdana"/>
          <w:sz w:val="16"/>
          <w:szCs w:val="16"/>
          <w:lang w:val="fr-FR"/>
        </w:rPr>
        <w:tab/>
        <w:t>consoles J, vis</w:t>
      </w:r>
      <w:r w:rsidR="009F6259">
        <w:rPr>
          <w:rFonts w:ascii="Verdana" w:hAnsi="Verdana"/>
          <w:sz w:val="16"/>
          <w:szCs w:val="16"/>
          <w:lang w:val="fr-FR"/>
        </w:rPr>
        <w:t>,</w:t>
      </w:r>
      <w:r w:rsidRPr="005C0AA6">
        <w:rPr>
          <w:rFonts w:ascii="Verdana" w:hAnsi="Verdana"/>
          <w:sz w:val="16"/>
          <w:szCs w:val="16"/>
          <w:lang w:val="fr-FR"/>
        </w:rPr>
        <w:t xml:space="preserve"> chevilles, vis et chevilles de sécurité certifiées ETA, bouchon purgeur, bouchons pleins et instructions de montage</w:t>
      </w:r>
    </w:p>
    <w:p w14:paraId="7A0BDFA6" w14:textId="77777777" w:rsidR="005C0AA6" w:rsidRPr="005C0AA6" w:rsidRDefault="005C0AA6" w:rsidP="005C0AA6">
      <w:pPr>
        <w:tabs>
          <w:tab w:val="left" w:pos="2410"/>
        </w:tabs>
        <w:suppressAutoHyphens/>
        <w:rPr>
          <w:rFonts w:ascii="Verdana" w:hAnsi="Verdana"/>
          <w:sz w:val="16"/>
          <w:szCs w:val="16"/>
          <w:lang w:val="fr-FR"/>
        </w:rPr>
      </w:pPr>
      <w:r w:rsidRPr="005C0AA6">
        <w:rPr>
          <w:rFonts w:ascii="Verdana" w:hAnsi="Verdana"/>
          <w:sz w:val="16"/>
          <w:szCs w:val="16"/>
          <w:lang w:val="fr-FR"/>
        </w:rPr>
        <w:t>Raccordements:</w:t>
      </w:r>
      <w:r w:rsidRPr="005C0AA6">
        <w:rPr>
          <w:rFonts w:ascii="Verdana" w:hAnsi="Verdana"/>
          <w:sz w:val="16"/>
          <w:szCs w:val="16"/>
          <w:lang w:val="fr-FR"/>
        </w:rPr>
        <w:tab/>
        <w:t>4 x ½” à filetage intérieur (comprenant le raccordement central)</w:t>
      </w:r>
    </w:p>
    <w:p w14:paraId="348FEEF9" w14:textId="77777777" w:rsidR="005C0AA6" w:rsidRPr="005C0AA6" w:rsidRDefault="005C0AA6" w:rsidP="005C0AA6">
      <w:pPr>
        <w:tabs>
          <w:tab w:val="left" w:pos="2410"/>
        </w:tabs>
        <w:suppressAutoHyphens/>
        <w:rPr>
          <w:rFonts w:ascii="Verdana" w:hAnsi="Verdana"/>
          <w:sz w:val="16"/>
          <w:szCs w:val="16"/>
          <w:lang w:val="fr-FR"/>
        </w:rPr>
      </w:pPr>
      <w:r w:rsidRPr="005C0AA6">
        <w:rPr>
          <w:rFonts w:ascii="Verdana" w:hAnsi="Verdana"/>
          <w:sz w:val="16"/>
          <w:szCs w:val="16"/>
          <w:lang w:val="fr-FR"/>
        </w:rPr>
        <w:t>Étriers:</w:t>
      </w:r>
      <w:r w:rsidRPr="005C0AA6">
        <w:rPr>
          <w:rFonts w:ascii="Verdana" w:hAnsi="Verdana"/>
          <w:sz w:val="16"/>
          <w:szCs w:val="16"/>
          <w:lang w:val="fr-FR"/>
        </w:rPr>
        <w:tab/>
        <w:t>pas d’étriers</w:t>
      </w:r>
    </w:p>
    <w:p w14:paraId="10CF901D" w14:textId="77777777" w:rsidR="005C0AA6" w:rsidRPr="005C0AA6" w:rsidRDefault="005C0AA6" w:rsidP="005C0AA6">
      <w:pPr>
        <w:tabs>
          <w:tab w:val="left" w:pos="2410"/>
        </w:tabs>
        <w:suppressAutoHyphens/>
        <w:ind w:left="2410" w:hanging="2410"/>
        <w:rPr>
          <w:rFonts w:ascii="Verdana" w:hAnsi="Verdana"/>
          <w:sz w:val="16"/>
          <w:szCs w:val="16"/>
          <w:lang w:val="fr-FR"/>
        </w:rPr>
      </w:pPr>
      <w:r w:rsidRPr="005C0AA6">
        <w:rPr>
          <w:rFonts w:ascii="Verdana" w:hAnsi="Verdana"/>
          <w:sz w:val="16"/>
          <w:szCs w:val="16"/>
          <w:lang w:val="fr-FR"/>
        </w:rPr>
        <w:t>Emballage:</w:t>
      </w:r>
      <w:r w:rsidRPr="005C0AA6">
        <w:rPr>
          <w:rFonts w:ascii="Verdana" w:hAnsi="Verdana"/>
          <w:sz w:val="16"/>
          <w:szCs w:val="16"/>
          <w:lang w:val="fr-FR"/>
        </w:rPr>
        <w:tab/>
        <w:t>Chaque radiateur est solidement emballé dans du carton de qualité et plastifié. Une étiquette décrit les caractéristiques du radiateur: type – hauteur – longueur.</w:t>
      </w:r>
    </w:p>
    <w:p w14:paraId="05D87138" w14:textId="77777777" w:rsidR="005C0AA6" w:rsidRPr="005C0AA6" w:rsidRDefault="005C0AA6" w:rsidP="005C0AA6">
      <w:pPr>
        <w:tabs>
          <w:tab w:val="left" w:pos="2410"/>
        </w:tabs>
        <w:suppressAutoHyphens/>
        <w:ind w:left="2410" w:hanging="2410"/>
        <w:rPr>
          <w:rFonts w:ascii="Verdana" w:hAnsi="Verdana"/>
          <w:sz w:val="16"/>
          <w:szCs w:val="16"/>
          <w:lang w:val="fr-FR"/>
        </w:rPr>
      </w:pPr>
      <w:r w:rsidRPr="005C0AA6">
        <w:rPr>
          <w:rFonts w:ascii="Verdana" w:hAnsi="Verdana"/>
          <w:sz w:val="16"/>
          <w:szCs w:val="16"/>
          <w:lang w:val="fr-FR"/>
        </w:rPr>
        <w:t>Garantie:</w:t>
      </w:r>
      <w:r w:rsidRPr="005C0AA6">
        <w:rPr>
          <w:rFonts w:ascii="Verdana" w:hAnsi="Verdana"/>
          <w:sz w:val="16"/>
          <w:szCs w:val="16"/>
          <w:lang w:val="fr-FR"/>
        </w:rPr>
        <w:tab/>
        <w:t>10 ans sous réserve de respecter les prescriptions concernant les conditions d’installation</w:t>
      </w:r>
      <w:r>
        <w:rPr>
          <w:rFonts w:ascii="Verdana" w:hAnsi="Verdana"/>
          <w:sz w:val="16"/>
          <w:szCs w:val="16"/>
          <w:lang w:val="fr-FR"/>
        </w:rPr>
        <w:t xml:space="preserve"> </w:t>
      </w:r>
      <w:r w:rsidRPr="005C0AA6">
        <w:rPr>
          <w:rFonts w:ascii="Verdana" w:hAnsi="Verdana"/>
          <w:sz w:val="16"/>
          <w:szCs w:val="16"/>
          <w:lang w:val="fr-FR"/>
        </w:rPr>
        <w:t>ainsi que les conditions de garantie de Stelrad.</w:t>
      </w:r>
    </w:p>
    <w:p w14:paraId="5B7C2C29" w14:textId="77777777" w:rsidR="005C0AA6" w:rsidRPr="005C0AA6" w:rsidRDefault="005C0AA6" w:rsidP="005C0AA6">
      <w:pPr>
        <w:tabs>
          <w:tab w:val="left" w:pos="2410"/>
        </w:tabs>
        <w:suppressAutoHyphens/>
        <w:ind w:left="2410" w:hanging="2410"/>
        <w:rPr>
          <w:rFonts w:ascii="Verdana" w:hAnsi="Verdana"/>
          <w:sz w:val="16"/>
          <w:szCs w:val="16"/>
          <w:lang w:val="fr-FR"/>
        </w:rPr>
      </w:pPr>
      <w:r w:rsidRPr="005C0AA6">
        <w:rPr>
          <w:rFonts w:ascii="Verdana" w:hAnsi="Verdana"/>
          <w:sz w:val="16"/>
          <w:szCs w:val="16"/>
          <w:lang w:val="fr-FR"/>
        </w:rPr>
        <w:t>Procédé de laquage:</w:t>
      </w:r>
      <w:r w:rsidRPr="005C0AA6">
        <w:rPr>
          <w:rFonts w:ascii="Verdana" w:hAnsi="Verdana"/>
          <w:sz w:val="16"/>
          <w:szCs w:val="16"/>
          <w:lang w:val="fr-FR"/>
        </w:rPr>
        <w:tab/>
        <w:t>Tous les radiateurs sont dégraissés, phosphatés, enduits d’une couche de protection primaire par cataphorèse et d’un poudrage électrostatique dans la couleur blanc Stelrad 9016.</w:t>
      </w:r>
    </w:p>
    <w:p w14:paraId="45B71149" w14:textId="77777777" w:rsidR="005C0AA6" w:rsidRPr="005C0AA6" w:rsidRDefault="005C0AA6" w:rsidP="005C0AA6">
      <w:pPr>
        <w:tabs>
          <w:tab w:val="left" w:pos="2410"/>
        </w:tabs>
        <w:suppressAutoHyphens/>
        <w:rPr>
          <w:rFonts w:ascii="Verdana" w:hAnsi="Verdana"/>
          <w:sz w:val="16"/>
          <w:szCs w:val="16"/>
          <w:lang w:val="fr-FR"/>
        </w:rPr>
      </w:pPr>
      <w:r w:rsidRPr="005C0AA6">
        <w:rPr>
          <w:rFonts w:ascii="Verdana" w:hAnsi="Verdana"/>
          <w:sz w:val="16"/>
          <w:szCs w:val="16"/>
          <w:lang w:val="fr-FR"/>
        </w:rPr>
        <w:t>Couleurs du panneau avant:</w:t>
      </w:r>
      <w:r w:rsidRPr="005C0AA6">
        <w:rPr>
          <w:rFonts w:ascii="Verdana" w:hAnsi="Verdana"/>
          <w:sz w:val="16"/>
          <w:szCs w:val="16"/>
          <w:lang w:val="fr-FR"/>
        </w:rPr>
        <w:tab/>
        <w:t>blanc Stelrad 9016  + 35 autres couleurs de Stelrad ou 200 couleurs RAL</w:t>
      </w:r>
    </w:p>
    <w:p w14:paraId="1B1F090B" w14:textId="77777777" w:rsidR="005C0AA6" w:rsidRPr="005C0AA6" w:rsidRDefault="005C0AA6" w:rsidP="005C0AA6">
      <w:pPr>
        <w:tabs>
          <w:tab w:val="left" w:pos="2410"/>
        </w:tabs>
        <w:suppressAutoHyphens/>
        <w:rPr>
          <w:rFonts w:ascii="Verdana" w:hAnsi="Verdana"/>
          <w:sz w:val="16"/>
          <w:szCs w:val="16"/>
          <w:lang w:val="fr-FR"/>
        </w:rPr>
      </w:pPr>
      <w:r w:rsidRPr="005C0AA6">
        <w:rPr>
          <w:rFonts w:ascii="Verdana" w:hAnsi="Verdana"/>
          <w:sz w:val="16"/>
          <w:szCs w:val="16"/>
          <w:lang w:val="fr-FR"/>
        </w:rPr>
        <w:t>Couleur des joues:</w:t>
      </w:r>
      <w:r w:rsidRPr="005C0AA6">
        <w:rPr>
          <w:rFonts w:ascii="Verdana" w:hAnsi="Verdana"/>
          <w:sz w:val="16"/>
          <w:szCs w:val="16"/>
          <w:lang w:val="fr-FR"/>
        </w:rPr>
        <w:tab/>
        <w:t>SN170 Noir</w:t>
      </w:r>
    </w:p>
    <w:p w14:paraId="10AAB793" w14:textId="77777777" w:rsidR="005C0AA6" w:rsidRPr="005C0AA6" w:rsidRDefault="005C0AA6" w:rsidP="005C0AA6">
      <w:pPr>
        <w:tabs>
          <w:tab w:val="left" w:pos="2410"/>
        </w:tabs>
        <w:suppressAutoHyphens/>
        <w:rPr>
          <w:rFonts w:ascii="Verdana" w:hAnsi="Verdana"/>
          <w:sz w:val="16"/>
          <w:szCs w:val="16"/>
          <w:lang w:val="fr-FR"/>
        </w:rPr>
      </w:pPr>
      <w:r w:rsidRPr="005C0AA6">
        <w:rPr>
          <w:rFonts w:ascii="Verdana" w:hAnsi="Verdana"/>
          <w:sz w:val="16"/>
          <w:szCs w:val="16"/>
          <w:lang w:val="fr-FR"/>
        </w:rPr>
        <w:t>Pression de service max.:</w:t>
      </w:r>
      <w:r w:rsidRPr="005C0AA6">
        <w:rPr>
          <w:rFonts w:ascii="Verdana" w:hAnsi="Verdana"/>
          <w:sz w:val="16"/>
          <w:szCs w:val="16"/>
          <w:lang w:val="fr-FR"/>
        </w:rPr>
        <w:tab/>
        <w:t xml:space="preserve">10 bar (testé à 13 bar) </w:t>
      </w:r>
    </w:p>
    <w:p w14:paraId="00514E4F" w14:textId="77777777" w:rsidR="005C0AA6" w:rsidRPr="005C0AA6" w:rsidRDefault="005C0AA6" w:rsidP="005C0AA6">
      <w:pPr>
        <w:tabs>
          <w:tab w:val="left" w:pos="2410"/>
        </w:tabs>
        <w:suppressAutoHyphens/>
        <w:rPr>
          <w:rFonts w:ascii="Verdana" w:hAnsi="Verdana"/>
          <w:sz w:val="16"/>
          <w:szCs w:val="16"/>
          <w:lang w:val="fr-FR"/>
        </w:rPr>
      </w:pPr>
      <w:r w:rsidRPr="005C0AA6">
        <w:rPr>
          <w:rFonts w:ascii="Verdana" w:hAnsi="Verdana"/>
          <w:sz w:val="16"/>
          <w:szCs w:val="16"/>
          <w:lang w:val="fr-FR"/>
        </w:rPr>
        <w:t>Température max.:</w:t>
      </w:r>
      <w:r w:rsidRPr="005C0AA6">
        <w:rPr>
          <w:rFonts w:ascii="Verdana" w:hAnsi="Verdana"/>
          <w:sz w:val="16"/>
          <w:szCs w:val="16"/>
          <w:lang w:val="fr-FR"/>
        </w:rPr>
        <w:tab/>
        <w:t>110 °C</w:t>
      </w:r>
    </w:p>
    <w:p w14:paraId="4A35E040" w14:textId="77777777" w:rsidR="005C0AA6" w:rsidRPr="005C0AA6" w:rsidRDefault="005C0AA6" w:rsidP="005C0AA6">
      <w:pPr>
        <w:tabs>
          <w:tab w:val="left" w:pos="2410"/>
        </w:tabs>
        <w:suppressAutoHyphens/>
        <w:rPr>
          <w:rFonts w:ascii="Verdana" w:hAnsi="Verdana"/>
          <w:sz w:val="16"/>
          <w:szCs w:val="16"/>
          <w:lang w:val="fr-FR"/>
        </w:rPr>
      </w:pPr>
      <w:r w:rsidRPr="005C0AA6">
        <w:rPr>
          <w:rFonts w:ascii="Verdana" w:hAnsi="Verdana"/>
          <w:sz w:val="16"/>
          <w:szCs w:val="16"/>
          <w:lang w:val="fr-FR"/>
        </w:rPr>
        <w:t>Conformité:</w:t>
      </w:r>
      <w:r w:rsidRPr="005C0AA6">
        <w:rPr>
          <w:rFonts w:ascii="Verdana" w:hAnsi="Verdana"/>
          <w:sz w:val="16"/>
          <w:szCs w:val="16"/>
          <w:lang w:val="fr-FR"/>
        </w:rPr>
        <w:tab/>
        <w:t>selon EN442</w:t>
      </w:r>
    </w:p>
    <w:p w14:paraId="0FE8CFE5" w14:textId="77777777" w:rsidR="005C0AA6" w:rsidRPr="005C0AA6" w:rsidRDefault="005C0AA6" w:rsidP="005C0AA6">
      <w:pPr>
        <w:tabs>
          <w:tab w:val="left" w:pos="2410"/>
        </w:tabs>
        <w:suppressAutoHyphens/>
        <w:rPr>
          <w:rFonts w:ascii="Verdana" w:hAnsi="Verdana"/>
          <w:sz w:val="16"/>
          <w:szCs w:val="16"/>
          <w:lang w:val="fr-FR"/>
        </w:rPr>
      </w:pPr>
      <w:r w:rsidRPr="005C0AA6">
        <w:rPr>
          <w:rFonts w:ascii="Verdana" w:hAnsi="Verdana"/>
          <w:sz w:val="16"/>
          <w:szCs w:val="16"/>
          <w:lang w:val="fr-FR"/>
        </w:rPr>
        <w:t>Types:</w:t>
      </w:r>
      <w:r w:rsidRPr="005C0AA6">
        <w:rPr>
          <w:rFonts w:ascii="Verdana" w:hAnsi="Verdana"/>
          <w:sz w:val="16"/>
          <w:szCs w:val="16"/>
          <w:lang w:val="fr-FR"/>
        </w:rPr>
        <w:tab/>
        <w:t>11 | 21 | 22</w:t>
      </w:r>
    </w:p>
    <w:p w14:paraId="717C417B" w14:textId="77777777" w:rsidR="005C0AA6" w:rsidRPr="005C0AA6" w:rsidRDefault="005C0AA6" w:rsidP="005C0AA6">
      <w:pPr>
        <w:tabs>
          <w:tab w:val="left" w:pos="2410"/>
        </w:tabs>
        <w:suppressAutoHyphens/>
        <w:rPr>
          <w:rFonts w:ascii="Verdana" w:hAnsi="Verdana"/>
          <w:sz w:val="16"/>
          <w:szCs w:val="16"/>
          <w:lang w:val="fr-FR"/>
        </w:rPr>
      </w:pPr>
      <w:r w:rsidRPr="005C0AA6">
        <w:rPr>
          <w:rFonts w:ascii="Verdana" w:hAnsi="Verdana"/>
          <w:sz w:val="16"/>
          <w:szCs w:val="16"/>
          <w:lang w:val="fr-FR"/>
        </w:rPr>
        <w:t>Hauteurs:</w:t>
      </w:r>
      <w:r w:rsidRPr="005C0AA6">
        <w:rPr>
          <w:rFonts w:ascii="Verdana" w:hAnsi="Verdana"/>
          <w:sz w:val="16"/>
          <w:szCs w:val="16"/>
          <w:lang w:val="fr-FR"/>
        </w:rPr>
        <w:tab/>
        <w:t>1.840 | 2.040 mm</w:t>
      </w:r>
    </w:p>
    <w:p w14:paraId="46E8FBDA" w14:textId="77777777" w:rsidR="005C0AA6" w:rsidRPr="005C0AA6" w:rsidRDefault="005C0AA6" w:rsidP="005C0AA6">
      <w:pPr>
        <w:tabs>
          <w:tab w:val="left" w:pos="2410"/>
        </w:tabs>
        <w:suppressAutoHyphens/>
        <w:rPr>
          <w:rFonts w:ascii="Verdana" w:hAnsi="Verdana"/>
          <w:sz w:val="16"/>
          <w:szCs w:val="16"/>
          <w:lang w:val="fr-FR"/>
        </w:rPr>
      </w:pPr>
      <w:r w:rsidRPr="005C0AA6">
        <w:rPr>
          <w:rFonts w:ascii="Verdana" w:hAnsi="Verdana"/>
          <w:sz w:val="16"/>
          <w:szCs w:val="16"/>
          <w:lang w:val="fr-FR"/>
        </w:rPr>
        <w:t>Longueurs:</w:t>
      </w:r>
      <w:r w:rsidRPr="005C0AA6">
        <w:rPr>
          <w:rFonts w:ascii="Verdana" w:hAnsi="Verdana"/>
          <w:sz w:val="16"/>
          <w:szCs w:val="16"/>
          <w:lang w:val="fr-FR"/>
        </w:rPr>
        <w:tab/>
        <w:t>470 | 570 | 670 mm</w:t>
      </w:r>
    </w:p>
    <w:p w14:paraId="7312B0E2" w14:textId="77777777" w:rsidR="001D5220" w:rsidRPr="005C0AA6" w:rsidRDefault="005C0AA6" w:rsidP="005C0AA6">
      <w:pPr>
        <w:tabs>
          <w:tab w:val="left" w:pos="2410"/>
        </w:tabs>
        <w:suppressAutoHyphens/>
        <w:rPr>
          <w:rFonts w:ascii="Verdana" w:hAnsi="Verdana"/>
          <w:sz w:val="16"/>
          <w:szCs w:val="16"/>
          <w:lang w:val="fr-FR"/>
        </w:rPr>
      </w:pPr>
      <w:r w:rsidRPr="005C0AA6">
        <w:rPr>
          <w:rFonts w:ascii="Verdana" w:hAnsi="Verdana"/>
          <w:sz w:val="16"/>
          <w:szCs w:val="16"/>
          <w:lang w:val="fr-FR"/>
        </w:rPr>
        <w:t>Profondeurs:</w:t>
      </w:r>
      <w:r w:rsidRPr="005C0AA6">
        <w:rPr>
          <w:rFonts w:ascii="Verdana" w:hAnsi="Verdana"/>
          <w:sz w:val="16"/>
          <w:szCs w:val="16"/>
          <w:lang w:val="fr-FR"/>
        </w:rPr>
        <w:tab/>
        <w:t>73 | 96 | 119 mm</w:t>
      </w:r>
    </w:p>
    <w:sectPr w:rsidR="001D5220" w:rsidRPr="005C0AA6"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4357" w14:textId="77777777" w:rsidR="00AF2E0A" w:rsidRDefault="00AF2E0A" w:rsidP="00AD4C15">
      <w:pPr>
        <w:spacing w:after="0" w:line="240" w:lineRule="auto"/>
      </w:pPr>
      <w:r>
        <w:separator/>
      </w:r>
    </w:p>
  </w:endnote>
  <w:endnote w:type="continuationSeparator" w:id="0">
    <w:p w14:paraId="233BC444" w14:textId="77777777" w:rsidR="00AF2E0A" w:rsidRDefault="00AF2E0A"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D460" w14:textId="77777777" w:rsidR="00AF2E0A" w:rsidRDefault="00AF2E0A" w:rsidP="00AD4C15">
      <w:pPr>
        <w:spacing w:after="0" w:line="240" w:lineRule="auto"/>
      </w:pPr>
      <w:r>
        <w:separator/>
      </w:r>
    </w:p>
  </w:footnote>
  <w:footnote w:type="continuationSeparator" w:id="0">
    <w:p w14:paraId="77179F42" w14:textId="77777777" w:rsidR="00AF2E0A" w:rsidRDefault="00AF2E0A"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64364"/>
    <w:rsid w:val="00077E6D"/>
    <w:rsid w:val="000A6419"/>
    <w:rsid w:val="000B6098"/>
    <w:rsid w:val="000C7274"/>
    <w:rsid w:val="000C7738"/>
    <w:rsid w:val="000D018D"/>
    <w:rsid w:val="000E10FE"/>
    <w:rsid w:val="00106605"/>
    <w:rsid w:val="00124A8C"/>
    <w:rsid w:val="00134A98"/>
    <w:rsid w:val="0014139F"/>
    <w:rsid w:val="001419BA"/>
    <w:rsid w:val="00146C1B"/>
    <w:rsid w:val="001550A6"/>
    <w:rsid w:val="00156040"/>
    <w:rsid w:val="00163D77"/>
    <w:rsid w:val="001D2832"/>
    <w:rsid w:val="001D5220"/>
    <w:rsid w:val="0021794F"/>
    <w:rsid w:val="002211D8"/>
    <w:rsid w:val="00224089"/>
    <w:rsid w:val="00224C20"/>
    <w:rsid w:val="00230E70"/>
    <w:rsid w:val="0025180B"/>
    <w:rsid w:val="0027423A"/>
    <w:rsid w:val="002758CA"/>
    <w:rsid w:val="00277A1F"/>
    <w:rsid w:val="00282156"/>
    <w:rsid w:val="002B40BD"/>
    <w:rsid w:val="002E3F18"/>
    <w:rsid w:val="0032244A"/>
    <w:rsid w:val="00325BAF"/>
    <w:rsid w:val="00355749"/>
    <w:rsid w:val="00360FFA"/>
    <w:rsid w:val="003915FB"/>
    <w:rsid w:val="003C15E3"/>
    <w:rsid w:val="003C2724"/>
    <w:rsid w:val="003F2AF8"/>
    <w:rsid w:val="00422C03"/>
    <w:rsid w:val="00430D82"/>
    <w:rsid w:val="00432047"/>
    <w:rsid w:val="00456F46"/>
    <w:rsid w:val="0046476B"/>
    <w:rsid w:val="00465824"/>
    <w:rsid w:val="00473FF4"/>
    <w:rsid w:val="00480990"/>
    <w:rsid w:val="004B3722"/>
    <w:rsid w:val="00500A84"/>
    <w:rsid w:val="00517EDD"/>
    <w:rsid w:val="00520D23"/>
    <w:rsid w:val="005221E5"/>
    <w:rsid w:val="00554692"/>
    <w:rsid w:val="00566A99"/>
    <w:rsid w:val="005A796E"/>
    <w:rsid w:val="005C0AA6"/>
    <w:rsid w:val="005E2C5D"/>
    <w:rsid w:val="00611F8B"/>
    <w:rsid w:val="006246A8"/>
    <w:rsid w:val="00625FC3"/>
    <w:rsid w:val="0063081C"/>
    <w:rsid w:val="006329F3"/>
    <w:rsid w:val="00642F1D"/>
    <w:rsid w:val="00657B4E"/>
    <w:rsid w:val="00663010"/>
    <w:rsid w:val="00674502"/>
    <w:rsid w:val="00680DE3"/>
    <w:rsid w:val="006A1004"/>
    <w:rsid w:val="006B0057"/>
    <w:rsid w:val="006B1293"/>
    <w:rsid w:val="006B4A30"/>
    <w:rsid w:val="006B65EC"/>
    <w:rsid w:val="006D3835"/>
    <w:rsid w:val="00723F5E"/>
    <w:rsid w:val="00744284"/>
    <w:rsid w:val="0074554A"/>
    <w:rsid w:val="00770BBE"/>
    <w:rsid w:val="007904D9"/>
    <w:rsid w:val="007A002C"/>
    <w:rsid w:val="007A5FBF"/>
    <w:rsid w:val="007B0A65"/>
    <w:rsid w:val="007B2136"/>
    <w:rsid w:val="00823956"/>
    <w:rsid w:val="0082767A"/>
    <w:rsid w:val="008829B5"/>
    <w:rsid w:val="00882C83"/>
    <w:rsid w:val="00896594"/>
    <w:rsid w:val="008B6EF1"/>
    <w:rsid w:val="00964C8B"/>
    <w:rsid w:val="00977DF0"/>
    <w:rsid w:val="00984C1B"/>
    <w:rsid w:val="009867C1"/>
    <w:rsid w:val="009917FD"/>
    <w:rsid w:val="00992526"/>
    <w:rsid w:val="00995CB9"/>
    <w:rsid w:val="009A0583"/>
    <w:rsid w:val="009A36D8"/>
    <w:rsid w:val="009A3AF6"/>
    <w:rsid w:val="009A4528"/>
    <w:rsid w:val="009F6259"/>
    <w:rsid w:val="00A30275"/>
    <w:rsid w:val="00A66031"/>
    <w:rsid w:val="00A67F27"/>
    <w:rsid w:val="00AB3D29"/>
    <w:rsid w:val="00AC1E60"/>
    <w:rsid w:val="00AC741A"/>
    <w:rsid w:val="00AD1BEA"/>
    <w:rsid w:val="00AD4C15"/>
    <w:rsid w:val="00AF16AD"/>
    <w:rsid w:val="00AF2E0A"/>
    <w:rsid w:val="00B10BC5"/>
    <w:rsid w:val="00B215A7"/>
    <w:rsid w:val="00B9027A"/>
    <w:rsid w:val="00BA0105"/>
    <w:rsid w:val="00BD700F"/>
    <w:rsid w:val="00BE451E"/>
    <w:rsid w:val="00C243C1"/>
    <w:rsid w:val="00C3611C"/>
    <w:rsid w:val="00C43039"/>
    <w:rsid w:val="00C66390"/>
    <w:rsid w:val="00C73932"/>
    <w:rsid w:val="00C91886"/>
    <w:rsid w:val="00CB504F"/>
    <w:rsid w:val="00D05C71"/>
    <w:rsid w:val="00D43FA3"/>
    <w:rsid w:val="00D85AD6"/>
    <w:rsid w:val="00D91118"/>
    <w:rsid w:val="00DE7451"/>
    <w:rsid w:val="00DF5FEF"/>
    <w:rsid w:val="00DF73DB"/>
    <w:rsid w:val="00E028A0"/>
    <w:rsid w:val="00E11295"/>
    <w:rsid w:val="00E565B0"/>
    <w:rsid w:val="00E643A2"/>
    <w:rsid w:val="00E76EFA"/>
    <w:rsid w:val="00EB3A04"/>
    <w:rsid w:val="00EB5050"/>
    <w:rsid w:val="00EC7BA9"/>
    <w:rsid w:val="00EE5707"/>
    <w:rsid w:val="00F16A43"/>
    <w:rsid w:val="00F34597"/>
    <w:rsid w:val="00F6221A"/>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DC7B"/>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75289-6416-489A-94B5-8EF14228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dcterms:created xsi:type="dcterms:W3CDTF">2018-07-10T06:54:00Z</dcterms:created>
  <dcterms:modified xsi:type="dcterms:W3CDTF">2022-02-21T09:19:00Z</dcterms:modified>
</cp:coreProperties>
</file>