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D6" w:rsidRPr="002916D6" w:rsidRDefault="002916D6" w:rsidP="002916D6">
      <w:pPr>
        <w:rPr>
          <w:rFonts w:ascii="Verdana" w:eastAsia="Verdana" w:hAnsi="Verdana" w:cs="Verdana"/>
          <w:color w:val="92766F"/>
          <w:sz w:val="48"/>
          <w:szCs w:val="48"/>
          <w:lang w:val="de-DE"/>
        </w:rPr>
      </w:pPr>
      <w:r w:rsidRPr="002916D6">
        <w:rPr>
          <w:rFonts w:ascii="Verdana" w:eastAsia="Verdana" w:hAnsi="Verdana" w:cs="Verdana"/>
          <w:color w:val="92766F"/>
          <w:sz w:val="48"/>
          <w:szCs w:val="48"/>
          <w:lang w:val="de-DE"/>
        </w:rPr>
        <w:t>VERTEX</w:t>
      </w:r>
    </w:p>
    <w:p w:rsidR="002916D6" w:rsidRP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Dank seiner Vertikalausführung ist der Vertex platzsparend und eignet sich insbesondere für kleine Räume.</w:t>
      </w:r>
    </w:p>
    <w:p w:rsidR="002916D6" w:rsidRP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</w:p>
    <w:p w:rsidR="002916D6" w:rsidRP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Produkt: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bookmarkStart w:id="0" w:name="_GoBack"/>
      <w:bookmarkEnd w:id="0"/>
      <w:r w:rsidRPr="002916D6">
        <w:rPr>
          <w:rFonts w:ascii="Verdana" w:eastAsia="Verdana" w:hAnsi="Verdana" w:cs="Verdana"/>
          <w:sz w:val="20"/>
          <w:szCs w:val="20"/>
          <w:lang w:val="de-DE"/>
        </w:rPr>
        <w:t>vertikaler Plattenheizkörper mit Mittenanschluss</w:t>
      </w:r>
    </w:p>
    <w:p w:rsidR="002916D6" w:rsidRP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Verarbeitung: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Seitenverkleidungen (nur für Typ 11, 20, 21 und 22)</w:t>
      </w:r>
    </w:p>
    <w:p w:rsidR="002916D6" w:rsidRPr="002916D6" w:rsidRDefault="002916D6" w:rsidP="002916D6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Mitgeliefert: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  <w:t>J-Konsolen, Schrauben und Dübel, ETA-Sicherheitsschrauben und Dübel, Entlüftungs- und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Blindstopfen, Montageanleitung</w:t>
      </w:r>
    </w:p>
    <w:p w:rsidR="002916D6" w:rsidRPr="002916D6" w:rsidRDefault="002916D6" w:rsidP="002916D6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Anschlüsse: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  <w:t xml:space="preserve">4 x ½" Innengewinde Mitten- und </w:t>
      </w:r>
      <w:proofErr w:type="spellStart"/>
      <w:r w:rsidRPr="002916D6">
        <w:rPr>
          <w:rFonts w:ascii="Verdana" w:eastAsia="Verdana" w:hAnsi="Verdana" w:cs="Verdana"/>
          <w:sz w:val="20"/>
          <w:szCs w:val="20"/>
          <w:lang w:val="de-DE"/>
        </w:rPr>
        <w:t>Seintenanschluss</w:t>
      </w:r>
      <w:proofErr w:type="spellEnd"/>
      <w:r w:rsidRPr="002916D6">
        <w:rPr>
          <w:rFonts w:ascii="Verdana" w:eastAsia="Verdana" w:hAnsi="Verdana" w:cs="Verdana"/>
          <w:sz w:val="20"/>
          <w:szCs w:val="20"/>
          <w:lang w:val="de-DE"/>
        </w:rPr>
        <w:t>. Bei Typ 20, 21 und 22 ist die Durchflussrichtung umkehrbar. Das bedeutet, dass der Vorlauf und der Rücklauf des Heizkörpers umgekehrt angeschlossen werden können.</w:t>
      </w:r>
    </w:p>
    <w:p w:rsidR="002916D6" w:rsidRP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>Befestigungs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laschen: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keine laschen</w:t>
      </w:r>
    </w:p>
    <w:p w:rsidR="002916D6" w:rsidRPr="002916D6" w:rsidRDefault="002916D6" w:rsidP="002916D6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Verpackung: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Alle Heizkörper werden in einer strapazierfähigen Verpackung aus hochwertigem Karton und Schutzfolie ausgeliefert. Auf dem Etikett sind die Merkmale des Heizkörpers angegeben: Typ - Höhe - Länge.</w:t>
      </w:r>
    </w:p>
    <w:p w:rsidR="002916D6" w:rsidRPr="002916D6" w:rsidRDefault="002916D6" w:rsidP="002916D6">
      <w:pPr>
        <w:ind w:left="2160" w:hanging="2160"/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Garantie: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10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Jahre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bei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Einhaltung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der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Installationsvorschriften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und</w:t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  <w:t>bei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Erfüllung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der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G</w:t>
      </w:r>
      <w:r>
        <w:rPr>
          <w:rFonts w:ascii="Verdana" w:eastAsia="Verdana" w:hAnsi="Verdana" w:cs="Verdana"/>
          <w:sz w:val="20"/>
          <w:szCs w:val="20"/>
          <w:lang w:val="de-DE"/>
        </w:rPr>
        <w:t>arantiebedingungen von Stelrad.</w:t>
      </w:r>
    </w:p>
    <w:p w:rsidR="002916D6" w:rsidRPr="002916D6" w:rsidRDefault="002916D6" w:rsidP="002916D6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>
        <w:rPr>
          <w:rFonts w:ascii="Verdana" w:eastAsia="Verdana" w:hAnsi="Verdana" w:cs="Verdana"/>
          <w:sz w:val="20"/>
          <w:szCs w:val="20"/>
          <w:lang w:val="de-DE"/>
        </w:rPr>
        <w:t>Lackierungs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verfahren:</w:t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Alle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Heizkörper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sind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entfettet,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eisenphosphatiert,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im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kathaphoretischen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Elektrotauchverfahren grundiert und standardmäßig im Farbton Stelrad weiß 9016 pulverbeschichtet.</w:t>
      </w:r>
    </w:p>
    <w:p w:rsidR="002916D6" w:rsidRPr="002916D6" w:rsidRDefault="002916D6" w:rsidP="002916D6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Farben: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  <w:t>Stelrad weiß 9016. Auf Wunsch in 35 anderen Stelrad-Farben oder weitere rund 200 RAL- Farben.</w:t>
      </w:r>
    </w:p>
    <w:p w:rsidR="002916D6" w:rsidRDefault="002916D6" w:rsidP="002916D6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Wärmezähler: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  <w:t>Uneingeschränkt für Wärmezähler geeignet, sowohl für elektrische Geräte als auch für</w:t>
      </w:r>
      <w:r>
        <w:rPr>
          <w:rFonts w:ascii="Verdana" w:eastAsia="Verdana" w:hAnsi="Verdana" w:cs="Verdana"/>
          <w:sz w:val="20"/>
          <w:szCs w:val="20"/>
          <w:lang w:val="de-DE"/>
        </w:rPr>
        <w:t xml:space="preserve"> 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 xml:space="preserve">Verdunstungsgeräte (gemäß DIN EN834 &amp; 835). </w:t>
      </w:r>
    </w:p>
    <w:p w:rsidR="002916D6" w:rsidRPr="002916D6" w:rsidRDefault="002916D6" w:rsidP="002916D6">
      <w:pPr>
        <w:ind w:left="2880" w:hanging="2880"/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Betriebsüberdruck: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  <w:t>max. 10 bar (Werkprüfdruck 13 bar)</w:t>
      </w:r>
    </w:p>
    <w:p w:rsid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Medium: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 xml:space="preserve">Heisswasser bis 110 °C </w:t>
      </w:r>
    </w:p>
    <w:p w:rsidR="002916D6" w:rsidRP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Norm: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nach EN 442</w:t>
      </w:r>
    </w:p>
    <w:p w:rsidR="002916D6" w:rsidRP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Qualitätssicherung: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RAL und NF</w:t>
      </w:r>
    </w:p>
    <w:p w:rsidR="002916D6" w:rsidRP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Typen: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10 | 11 | 20 | 21 | 22</w:t>
      </w:r>
    </w:p>
    <w:p w:rsid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Höhen: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 xml:space="preserve">1.600 | 1.800 | 2.000 | 2.200 mm </w:t>
      </w:r>
    </w:p>
    <w:p w:rsidR="002916D6" w:rsidRDefault="002916D6" w:rsidP="002916D6">
      <w:pPr>
        <w:rPr>
          <w:rFonts w:ascii="Verdana" w:eastAsia="Verdana" w:hAnsi="Verdana" w:cs="Verdana"/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Längen: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 xml:space="preserve">300 | 400 | 500 | 600 | 700 mm </w:t>
      </w:r>
    </w:p>
    <w:p w:rsidR="00F70B2F" w:rsidRPr="002916D6" w:rsidRDefault="002916D6" w:rsidP="002916D6">
      <w:pPr>
        <w:rPr>
          <w:sz w:val="20"/>
          <w:szCs w:val="20"/>
          <w:lang w:val="de-DE"/>
        </w:rPr>
      </w:pPr>
      <w:r w:rsidRPr="002916D6">
        <w:rPr>
          <w:rFonts w:ascii="Verdana" w:eastAsia="Verdana" w:hAnsi="Verdana" w:cs="Verdana"/>
          <w:sz w:val="20"/>
          <w:szCs w:val="20"/>
          <w:lang w:val="de-DE"/>
        </w:rPr>
        <w:t>Tiefen:</w:t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>
        <w:rPr>
          <w:rFonts w:ascii="Verdana" w:eastAsia="Verdana" w:hAnsi="Verdana" w:cs="Verdana"/>
          <w:sz w:val="20"/>
          <w:szCs w:val="20"/>
          <w:lang w:val="de-DE"/>
        </w:rPr>
        <w:tab/>
      </w:r>
      <w:r w:rsidRPr="002916D6">
        <w:rPr>
          <w:rFonts w:ascii="Verdana" w:eastAsia="Verdana" w:hAnsi="Verdana" w:cs="Verdana"/>
          <w:sz w:val="20"/>
          <w:szCs w:val="20"/>
          <w:lang w:val="de-DE"/>
        </w:rPr>
        <w:t>47 | 47 | 77 | 77 | 100 mm</w:t>
      </w:r>
    </w:p>
    <w:sectPr w:rsidR="00F70B2F" w:rsidRPr="002916D6">
      <w:type w:val="continuous"/>
      <w:pgSz w:w="11920" w:h="16840"/>
      <w:pgMar w:top="1560" w:right="16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70B2F"/>
    <w:rsid w:val="002916D6"/>
    <w:rsid w:val="008E7519"/>
    <w:rsid w:val="00E05AD1"/>
    <w:rsid w:val="00F7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FCCE"/>
  <w15:docId w15:val="{EC0C27ED-831D-4B52-A0FC-B9EAE178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Crispeyn</cp:lastModifiedBy>
  <cp:revision>4</cp:revision>
  <dcterms:created xsi:type="dcterms:W3CDTF">2016-12-07T17:54:00Z</dcterms:created>
  <dcterms:modified xsi:type="dcterms:W3CDTF">2017-01-23T15:19:00Z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2016-12-07T00:00:00Z</vt:filetime>
  </property>
</Properties>
</file>