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56" w:rsidRPr="002A3256" w:rsidRDefault="002A3256" w:rsidP="002A3256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2A3256">
        <w:rPr>
          <w:rFonts w:ascii="Verdana" w:eastAsia="Verdana" w:hAnsi="Verdana" w:cs="Verdana"/>
          <w:color w:val="92766F"/>
          <w:sz w:val="48"/>
          <w:szCs w:val="48"/>
          <w:lang w:val="fr-FR"/>
        </w:rPr>
        <w:t>GILIA DOUBLE</w:t>
      </w:r>
    </w:p>
    <w:p w:rsidR="002A3256" w:rsidRPr="002A3256" w:rsidRDefault="002A3256" w:rsidP="002A3256">
      <w:pPr>
        <w:rPr>
          <w:rFonts w:ascii="Verdana" w:eastAsia="Verdana" w:hAnsi="Verdana" w:cs="Verdana"/>
          <w:sz w:val="20"/>
          <w:szCs w:val="20"/>
          <w:lang w:val="fr-FR"/>
        </w:rPr>
      </w:pPr>
      <w:r w:rsidRPr="002A3256">
        <w:rPr>
          <w:rFonts w:ascii="Verdana" w:eastAsia="Verdana" w:hAnsi="Verdana" w:cs="Verdana"/>
          <w:sz w:val="20"/>
          <w:szCs w:val="20"/>
          <w:lang w:val="fr-FR"/>
        </w:rPr>
        <w:t>Dans sa version double ce radiateur procure un confort inégalé.</w:t>
      </w:r>
    </w:p>
    <w:p w:rsidR="002A3256" w:rsidRPr="002A3256" w:rsidRDefault="002A3256" w:rsidP="002A3256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G</w:t>
      </w:r>
      <w:bookmarkStart w:id="0" w:name="_GoBack"/>
      <w:bookmarkEnd w:id="0"/>
      <w:r w:rsidRPr="002A3256">
        <w:rPr>
          <w:rFonts w:ascii="Verdana" w:eastAsia="Verdana" w:hAnsi="Verdana" w:cs="Verdana"/>
          <w:sz w:val="16"/>
          <w:szCs w:val="16"/>
          <w:lang w:val="fr-FR"/>
        </w:rPr>
        <w:t>ilia Double</w:t>
      </w:r>
    </w:p>
    <w:p w:rsidR="002A3256" w:rsidRPr="002A3256" w:rsidRDefault="002A3256" w:rsidP="002A32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  <w:t>4 consoles blanches (chromées pour les autres couleurs de radiateur), vis, chevilles, purgeur et bouchon plein esthétiques, bouchons pleins et instructions de montage</w:t>
      </w: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2A3256" w:rsidRPr="002A3256" w:rsidRDefault="002A3256" w:rsidP="002A32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2A3256" w:rsidRPr="002A3256" w:rsidRDefault="002A3256" w:rsidP="002A32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2A3256" w:rsidRDefault="002A3256" w:rsidP="002A32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2A3256" w:rsidRPr="002A3256" w:rsidRDefault="002A3256" w:rsidP="002A32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  <w:t xml:space="preserve">6 bar (testé à 7,8 bar) </w:t>
      </w: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1.199 | 1.791 | 2.013 mm</w:t>
      </w: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  <w:t>54 | 82 | 94</w:t>
      </w: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500 | 600 | 750 mm</w:t>
      </w:r>
    </w:p>
    <w:p w:rsidR="002A3256" w:rsidRPr="002A3256" w:rsidRDefault="002A3256" w:rsidP="002A3256">
      <w:pPr>
        <w:rPr>
          <w:rFonts w:ascii="Verdana" w:eastAsia="Verdana" w:hAnsi="Verdana" w:cs="Verdana"/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horizontaux, section en “O” et d’un diamètre de 22 mm</w:t>
      </w:r>
    </w:p>
    <w:p w:rsidR="009735D6" w:rsidRPr="002A3256" w:rsidRDefault="002A3256" w:rsidP="002A3256">
      <w:pPr>
        <w:rPr>
          <w:sz w:val="16"/>
          <w:szCs w:val="16"/>
          <w:lang w:val="fr-FR"/>
        </w:rPr>
      </w:pPr>
      <w:r w:rsidRPr="002A3256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2A3256">
        <w:rPr>
          <w:rFonts w:ascii="Verdana" w:eastAsia="Verdana" w:hAnsi="Verdana" w:cs="Verdana"/>
          <w:sz w:val="16"/>
          <w:szCs w:val="16"/>
          <w:lang w:val="fr-FR"/>
        </w:rPr>
        <w:t>verticaux, section en “O” et d’un diamètre de 38 mm</w:t>
      </w:r>
    </w:p>
    <w:sectPr w:rsidR="009735D6" w:rsidRPr="002A3256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5D6"/>
    <w:rsid w:val="002A3256"/>
    <w:rsid w:val="009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510D"/>
  <w15:docId w15:val="{7960D62F-EDA0-4CD2-A78E-29D358A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